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0A45" w:rsidRPr="003C0AB9" w:rsidRDefault="003C0AB9" w:rsidP="003C0A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C0AB9">
        <w:rPr>
          <w:rFonts w:ascii="Arial" w:hAnsi="Arial" w:cs="Arial"/>
          <w:b/>
          <w:sz w:val="20"/>
          <w:szCs w:val="20"/>
          <w:u w:val="single"/>
        </w:rPr>
        <w:t>Boarding House Roundtable</w:t>
      </w:r>
    </w:p>
    <w:p w:rsidR="003C0AB9" w:rsidRDefault="003C0AB9" w:rsidP="003C0A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B9">
        <w:rPr>
          <w:rFonts w:ascii="Arial" w:hAnsi="Arial" w:cs="Arial"/>
          <w:b/>
          <w:sz w:val="20"/>
          <w:szCs w:val="20"/>
          <w:u w:val="single"/>
        </w:rPr>
        <w:t>Minutes</w:t>
      </w:r>
    </w:p>
    <w:p w:rsidR="003C0AB9" w:rsidRPr="003C0AB9" w:rsidRDefault="003C0AB9" w:rsidP="003C0A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0AB9" w:rsidRPr="003C0AB9" w:rsidRDefault="003C0AB9" w:rsidP="003C0AB9">
      <w:pPr>
        <w:jc w:val="center"/>
        <w:rPr>
          <w:rFonts w:ascii="Arial" w:hAnsi="Arial" w:cs="Arial"/>
          <w:b/>
          <w:sz w:val="20"/>
          <w:szCs w:val="20"/>
        </w:rPr>
      </w:pPr>
      <w:r w:rsidRPr="003C0AB9">
        <w:rPr>
          <w:rFonts w:ascii="Arial" w:hAnsi="Arial" w:cs="Arial"/>
          <w:b/>
          <w:sz w:val="20"/>
          <w:szCs w:val="20"/>
        </w:rPr>
        <w:t>Tuesday 4</w:t>
      </w:r>
      <w:r w:rsidRPr="003C0AB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C0AB9">
        <w:rPr>
          <w:rFonts w:ascii="Arial" w:hAnsi="Arial" w:cs="Arial"/>
          <w:b/>
          <w:sz w:val="20"/>
          <w:szCs w:val="20"/>
        </w:rPr>
        <w:t xml:space="preserve"> September 2019</w:t>
      </w:r>
    </w:p>
    <w:p w:rsidR="003C0AB9" w:rsidRPr="003C0AB9" w:rsidRDefault="003C0AB9" w:rsidP="003C0AB9">
      <w:pPr>
        <w:rPr>
          <w:rFonts w:ascii="Arial" w:hAnsi="Arial" w:cs="Arial"/>
          <w:b/>
          <w:sz w:val="20"/>
          <w:szCs w:val="20"/>
        </w:rPr>
      </w:pPr>
    </w:p>
    <w:p w:rsidR="00331C81" w:rsidRDefault="003C0AB9" w:rsidP="003C0AB9">
      <w:pPr>
        <w:rPr>
          <w:rFonts w:ascii="Arial" w:hAnsi="Arial" w:cs="Arial"/>
          <w:sz w:val="20"/>
          <w:szCs w:val="20"/>
        </w:rPr>
      </w:pPr>
      <w:r w:rsidRPr="003C0AB9">
        <w:rPr>
          <w:rFonts w:ascii="Arial" w:hAnsi="Arial" w:cs="Arial"/>
          <w:b/>
          <w:sz w:val="20"/>
          <w:szCs w:val="20"/>
        </w:rPr>
        <w:t>Present:</w:t>
      </w:r>
      <w:r w:rsidR="00331C81">
        <w:rPr>
          <w:rFonts w:ascii="Arial" w:hAnsi="Arial" w:cs="Arial"/>
          <w:b/>
          <w:sz w:val="20"/>
          <w:szCs w:val="20"/>
        </w:rPr>
        <w:t xml:space="preserve"> </w:t>
      </w:r>
      <w:r w:rsidR="00331C81">
        <w:rPr>
          <w:rFonts w:ascii="Arial" w:hAnsi="Arial" w:cs="Arial"/>
          <w:sz w:val="20"/>
          <w:szCs w:val="20"/>
        </w:rPr>
        <w:t>Mischa Gwaspari</w:t>
      </w:r>
      <w:r w:rsidR="005D52DF">
        <w:rPr>
          <w:rFonts w:ascii="Arial" w:hAnsi="Arial" w:cs="Arial"/>
          <w:sz w:val="20"/>
          <w:szCs w:val="20"/>
        </w:rPr>
        <w:t xml:space="preserve"> (NNC)</w:t>
      </w:r>
      <w:r w:rsidR="00331C81">
        <w:rPr>
          <w:rFonts w:ascii="Arial" w:hAnsi="Arial" w:cs="Arial"/>
          <w:sz w:val="20"/>
          <w:szCs w:val="20"/>
        </w:rPr>
        <w:t>, Paul Adabie</w:t>
      </w:r>
      <w:r w:rsidR="005D52DF">
        <w:rPr>
          <w:rFonts w:ascii="Arial" w:hAnsi="Arial" w:cs="Arial"/>
          <w:sz w:val="20"/>
          <w:szCs w:val="20"/>
        </w:rPr>
        <w:t xml:space="preserve"> (NNC)</w:t>
      </w:r>
      <w:r w:rsidR="00331C81">
        <w:rPr>
          <w:rFonts w:ascii="Arial" w:hAnsi="Arial" w:cs="Arial"/>
          <w:sz w:val="20"/>
          <w:szCs w:val="20"/>
        </w:rPr>
        <w:t>, Liz Yeo</w:t>
      </w:r>
      <w:r w:rsidR="005D52DF">
        <w:rPr>
          <w:rFonts w:ascii="Arial" w:hAnsi="Arial" w:cs="Arial"/>
          <w:sz w:val="20"/>
          <w:szCs w:val="20"/>
        </w:rPr>
        <w:t xml:space="preserve"> (NNC)</w:t>
      </w:r>
      <w:r w:rsidR="00331C81">
        <w:rPr>
          <w:rFonts w:ascii="Arial" w:hAnsi="Arial" w:cs="Arial"/>
          <w:sz w:val="20"/>
          <w:szCs w:val="20"/>
        </w:rPr>
        <w:t>, Melanie Bradfield, Tim Ngu</w:t>
      </w:r>
      <w:r w:rsidR="007257D0">
        <w:rPr>
          <w:rFonts w:ascii="Arial" w:hAnsi="Arial" w:cs="Arial"/>
          <w:sz w:val="20"/>
          <w:szCs w:val="20"/>
        </w:rPr>
        <w:t>i (PIAC)</w:t>
      </w:r>
      <w:r w:rsidR="00331C81">
        <w:rPr>
          <w:rFonts w:ascii="Arial" w:hAnsi="Arial" w:cs="Arial"/>
          <w:sz w:val="20"/>
          <w:szCs w:val="20"/>
        </w:rPr>
        <w:t>, Michelle Apschner</w:t>
      </w:r>
      <w:r w:rsidR="005D52DF">
        <w:rPr>
          <w:rFonts w:ascii="Arial" w:hAnsi="Arial" w:cs="Arial"/>
          <w:sz w:val="20"/>
          <w:szCs w:val="20"/>
        </w:rPr>
        <w:t xml:space="preserve"> (NNC)</w:t>
      </w:r>
      <w:r w:rsidR="00331C81">
        <w:rPr>
          <w:rFonts w:ascii="Arial" w:hAnsi="Arial" w:cs="Arial"/>
          <w:sz w:val="20"/>
          <w:szCs w:val="20"/>
        </w:rPr>
        <w:t>, Leo Patterson</w:t>
      </w:r>
      <w:r w:rsidR="005D52DF">
        <w:rPr>
          <w:rFonts w:ascii="Arial" w:hAnsi="Arial" w:cs="Arial"/>
          <w:sz w:val="20"/>
          <w:szCs w:val="20"/>
        </w:rPr>
        <w:t>-Ross (Tenants Union)</w:t>
      </w:r>
      <w:r w:rsidR="00331C81">
        <w:rPr>
          <w:rFonts w:ascii="Arial" w:hAnsi="Arial" w:cs="Arial"/>
          <w:sz w:val="20"/>
          <w:szCs w:val="20"/>
        </w:rPr>
        <w:t>, Elizabeth Priestley</w:t>
      </w:r>
      <w:r w:rsidR="003B600B">
        <w:rPr>
          <w:rFonts w:ascii="Arial" w:hAnsi="Arial" w:cs="Arial"/>
          <w:sz w:val="20"/>
          <w:szCs w:val="20"/>
        </w:rPr>
        <w:t xml:space="preserve"> (Way Ahead)</w:t>
      </w:r>
      <w:r w:rsidR="00331C81">
        <w:rPr>
          <w:rFonts w:ascii="Arial" w:hAnsi="Arial" w:cs="Arial"/>
          <w:sz w:val="20"/>
          <w:szCs w:val="20"/>
        </w:rPr>
        <w:t>, Paul Clenaghan</w:t>
      </w:r>
      <w:r w:rsidR="005D52DF">
        <w:rPr>
          <w:rFonts w:ascii="Arial" w:hAnsi="Arial" w:cs="Arial"/>
          <w:sz w:val="20"/>
          <w:szCs w:val="20"/>
        </w:rPr>
        <w:t xml:space="preserve"> (Sydney Health District)</w:t>
      </w:r>
      <w:r w:rsidR="00331C81">
        <w:rPr>
          <w:rFonts w:ascii="Arial" w:hAnsi="Arial" w:cs="Arial"/>
          <w:sz w:val="20"/>
          <w:szCs w:val="20"/>
        </w:rPr>
        <w:t>, Julia Murray</w:t>
      </w:r>
      <w:r w:rsidR="007257D0">
        <w:rPr>
          <w:rFonts w:ascii="Arial" w:hAnsi="Arial" w:cs="Arial"/>
          <w:sz w:val="20"/>
          <w:szCs w:val="20"/>
        </w:rPr>
        <w:t xml:space="preserve"> (Marrickville Legal Centre)</w:t>
      </w:r>
      <w:r w:rsidR="00331C81">
        <w:rPr>
          <w:rFonts w:ascii="Arial" w:hAnsi="Arial" w:cs="Arial"/>
          <w:sz w:val="20"/>
          <w:szCs w:val="20"/>
        </w:rPr>
        <w:t>, Elizabeth Defreitas</w:t>
      </w:r>
      <w:r w:rsidR="005D52DF">
        <w:rPr>
          <w:rFonts w:ascii="Arial" w:hAnsi="Arial" w:cs="Arial"/>
          <w:sz w:val="20"/>
          <w:szCs w:val="20"/>
        </w:rPr>
        <w:t xml:space="preserve"> (Tenants Union)</w:t>
      </w:r>
      <w:r w:rsidR="00331C81">
        <w:rPr>
          <w:rFonts w:ascii="Arial" w:hAnsi="Arial" w:cs="Arial"/>
          <w:sz w:val="20"/>
          <w:szCs w:val="20"/>
        </w:rPr>
        <w:t>, Peter Dormia</w:t>
      </w:r>
      <w:r w:rsidR="005D52DF">
        <w:rPr>
          <w:rFonts w:ascii="Arial" w:hAnsi="Arial" w:cs="Arial"/>
          <w:sz w:val="20"/>
          <w:szCs w:val="20"/>
        </w:rPr>
        <w:t xml:space="preserve"> (Property Owners Association)</w:t>
      </w:r>
      <w:r w:rsidR="00331C81">
        <w:rPr>
          <w:rFonts w:ascii="Arial" w:hAnsi="Arial" w:cs="Arial"/>
          <w:sz w:val="20"/>
          <w:szCs w:val="20"/>
        </w:rPr>
        <w:t>, Simon Watts</w:t>
      </w:r>
      <w:r w:rsidR="003B600B">
        <w:rPr>
          <w:rFonts w:ascii="Arial" w:hAnsi="Arial" w:cs="Arial"/>
          <w:sz w:val="20"/>
          <w:szCs w:val="20"/>
        </w:rPr>
        <w:t xml:space="preserve"> (IWC)</w:t>
      </w:r>
      <w:r w:rsidR="00331C81">
        <w:rPr>
          <w:rFonts w:ascii="Arial" w:hAnsi="Arial" w:cs="Arial"/>
          <w:sz w:val="20"/>
          <w:szCs w:val="20"/>
        </w:rPr>
        <w:t>, Adam Farrar</w:t>
      </w:r>
      <w:r w:rsidR="003B600B">
        <w:rPr>
          <w:rFonts w:ascii="Arial" w:hAnsi="Arial" w:cs="Arial"/>
          <w:sz w:val="20"/>
          <w:szCs w:val="20"/>
        </w:rPr>
        <w:t xml:space="preserve"> (NNC)</w:t>
      </w:r>
      <w:r w:rsidR="00331C81">
        <w:rPr>
          <w:rFonts w:ascii="Arial" w:hAnsi="Arial" w:cs="Arial"/>
          <w:sz w:val="20"/>
          <w:szCs w:val="20"/>
        </w:rPr>
        <w:t>, Ben Gray</w:t>
      </w:r>
      <w:r w:rsidR="005D52DF">
        <w:rPr>
          <w:rFonts w:ascii="Arial" w:hAnsi="Arial" w:cs="Arial"/>
          <w:sz w:val="20"/>
          <w:szCs w:val="20"/>
        </w:rPr>
        <w:t xml:space="preserve"> (All Saints)</w:t>
      </w:r>
      <w:r w:rsidR="00331C81">
        <w:rPr>
          <w:rFonts w:ascii="Arial" w:hAnsi="Arial" w:cs="Arial"/>
          <w:sz w:val="20"/>
          <w:szCs w:val="20"/>
        </w:rPr>
        <w:t>, Rory O’Neill</w:t>
      </w:r>
      <w:r w:rsidR="005D52DF">
        <w:rPr>
          <w:rFonts w:ascii="Arial" w:hAnsi="Arial" w:cs="Arial"/>
          <w:sz w:val="20"/>
          <w:szCs w:val="20"/>
        </w:rPr>
        <w:t xml:space="preserve"> (DCJ)</w:t>
      </w:r>
      <w:r w:rsidR="00331C81">
        <w:rPr>
          <w:rFonts w:ascii="Arial" w:hAnsi="Arial" w:cs="Arial"/>
          <w:sz w:val="20"/>
          <w:szCs w:val="20"/>
        </w:rPr>
        <w:t>, Giancarlo De Vera</w:t>
      </w:r>
      <w:r w:rsidR="003B600B">
        <w:rPr>
          <w:rFonts w:ascii="Arial" w:hAnsi="Arial" w:cs="Arial"/>
          <w:sz w:val="20"/>
          <w:szCs w:val="20"/>
        </w:rPr>
        <w:t xml:space="preserve"> (PWDA)</w:t>
      </w:r>
      <w:r w:rsidR="00331C81">
        <w:rPr>
          <w:rFonts w:ascii="Arial" w:hAnsi="Arial" w:cs="Arial"/>
          <w:sz w:val="20"/>
          <w:szCs w:val="20"/>
        </w:rPr>
        <w:t>, Timothy Counter, Jessica Bell</w:t>
      </w:r>
      <w:r w:rsidR="003B600B">
        <w:rPr>
          <w:rFonts w:ascii="Arial" w:hAnsi="Arial" w:cs="Arial"/>
          <w:sz w:val="20"/>
          <w:szCs w:val="20"/>
        </w:rPr>
        <w:t xml:space="preserve"> (PWDA),</w:t>
      </w:r>
      <w:r w:rsidR="00331C81">
        <w:rPr>
          <w:rFonts w:ascii="Arial" w:hAnsi="Arial" w:cs="Arial"/>
          <w:sz w:val="20"/>
          <w:szCs w:val="20"/>
        </w:rPr>
        <w:t>, Rosalie Graham, Divna Marjanovic</w:t>
      </w:r>
      <w:r w:rsidR="005D52DF">
        <w:rPr>
          <w:rFonts w:ascii="Arial" w:hAnsi="Arial" w:cs="Arial"/>
          <w:sz w:val="20"/>
          <w:szCs w:val="20"/>
        </w:rPr>
        <w:t xml:space="preserve"> (DCJ)</w:t>
      </w:r>
      <w:r w:rsidR="00331C81">
        <w:rPr>
          <w:rFonts w:ascii="Arial" w:hAnsi="Arial" w:cs="Arial"/>
          <w:sz w:val="20"/>
          <w:szCs w:val="20"/>
        </w:rPr>
        <w:t>, Janice Dene</w:t>
      </w:r>
      <w:r w:rsidR="005D52DF">
        <w:rPr>
          <w:rFonts w:ascii="Arial" w:hAnsi="Arial" w:cs="Arial"/>
          <w:sz w:val="20"/>
          <w:szCs w:val="20"/>
        </w:rPr>
        <w:t>h</w:t>
      </w:r>
      <w:r w:rsidR="00331C81">
        <w:rPr>
          <w:rFonts w:ascii="Arial" w:hAnsi="Arial" w:cs="Arial"/>
          <w:sz w:val="20"/>
          <w:szCs w:val="20"/>
        </w:rPr>
        <w:t>y</w:t>
      </w:r>
      <w:r w:rsidR="005D52DF">
        <w:rPr>
          <w:rFonts w:ascii="Arial" w:hAnsi="Arial" w:cs="Arial"/>
          <w:sz w:val="20"/>
          <w:szCs w:val="20"/>
        </w:rPr>
        <w:t xml:space="preserve"> </w:t>
      </w:r>
      <w:r w:rsidR="005D52DF">
        <w:rPr>
          <w:rFonts w:ascii="Arial" w:hAnsi="Arial" w:cs="Arial"/>
          <w:sz w:val="20"/>
          <w:szCs w:val="20"/>
        </w:rPr>
        <w:lastRenderedPageBreak/>
        <w:t>(DCJ)</w:t>
      </w:r>
      <w:r w:rsidR="00331C81">
        <w:rPr>
          <w:rFonts w:ascii="Arial" w:hAnsi="Arial" w:cs="Arial"/>
          <w:sz w:val="20"/>
          <w:szCs w:val="20"/>
        </w:rPr>
        <w:t>, Nancy Gan</w:t>
      </w:r>
      <w:r w:rsidR="00F618D4">
        <w:rPr>
          <w:rFonts w:ascii="Arial" w:hAnsi="Arial" w:cs="Arial"/>
          <w:sz w:val="20"/>
          <w:szCs w:val="20"/>
        </w:rPr>
        <w:t>g</w:t>
      </w:r>
      <w:r w:rsidR="00331C81">
        <w:rPr>
          <w:rFonts w:ascii="Arial" w:hAnsi="Arial" w:cs="Arial"/>
          <w:sz w:val="20"/>
          <w:szCs w:val="20"/>
        </w:rPr>
        <w:t>i</w:t>
      </w:r>
      <w:r w:rsidR="00F618D4">
        <w:rPr>
          <w:rFonts w:ascii="Arial" w:hAnsi="Arial" w:cs="Arial"/>
          <w:sz w:val="20"/>
          <w:szCs w:val="20"/>
        </w:rPr>
        <w:t xml:space="preserve"> (NSW Finance, Services &amp;</w:t>
      </w:r>
      <w:r w:rsidR="007E38A5">
        <w:rPr>
          <w:rFonts w:ascii="Arial" w:hAnsi="Arial" w:cs="Arial"/>
          <w:sz w:val="20"/>
          <w:szCs w:val="20"/>
        </w:rPr>
        <w:t xml:space="preserve"> </w:t>
      </w:r>
      <w:r w:rsidR="00F618D4">
        <w:rPr>
          <w:rFonts w:ascii="Arial" w:hAnsi="Arial" w:cs="Arial"/>
          <w:sz w:val="20"/>
          <w:szCs w:val="20"/>
        </w:rPr>
        <w:t>Innovation)</w:t>
      </w:r>
      <w:r w:rsidR="00331C81">
        <w:rPr>
          <w:rFonts w:ascii="Arial" w:hAnsi="Arial" w:cs="Arial"/>
          <w:sz w:val="20"/>
          <w:szCs w:val="20"/>
        </w:rPr>
        <w:t>, Anna Wade</w:t>
      </w:r>
      <w:r w:rsidR="008760D9">
        <w:rPr>
          <w:rFonts w:ascii="Arial" w:hAnsi="Arial" w:cs="Arial"/>
          <w:sz w:val="20"/>
          <w:szCs w:val="20"/>
        </w:rPr>
        <w:t xml:space="preserve"> (NSW Finance, Services &amp; Innovation)</w:t>
      </w:r>
      <w:r w:rsidR="00331C81">
        <w:rPr>
          <w:rFonts w:ascii="Arial" w:hAnsi="Arial" w:cs="Arial"/>
          <w:sz w:val="20"/>
          <w:szCs w:val="20"/>
        </w:rPr>
        <w:t>, Jon Atkins</w:t>
      </w:r>
      <w:r w:rsidR="005D52DF">
        <w:rPr>
          <w:rFonts w:ascii="Arial" w:hAnsi="Arial" w:cs="Arial"/>
          <w:sz w:val="20"/>
          <w:szCs w:val="20"/>
        </w:rPr>
        <w:t xml:space="preserve"> (Inner West Council)</w:t>
      </w:r>
      <w:r w:rsidR="00331C81">
        <w:rPr>
          <w:rFonts w:ascii="Arial" w:hAnsi="Arial" w:cs="Arial"/>
          <w:sz w:val="20"/>
          <w:szCs w:val="20"/>
        </w:rPr>
        <w:t>, Alex Kresovic</w:t>
      </w:r>
      <w:r w:rsidR="007257D0">
        <w:rPr>
          <w:rFonts w:ascii="Arial" w:hAnsi="Arial" w:cs="Arial"/>
          <w:sz w:val="20"/>
          <w:szCs w:val="20"/>
        </w:rPr>
        <w:t>, Sunil Fernando</w:t>
      </w:r>
      <w:r w:rsidR="003B600B">
        <w:rPr>
          <w:rFonts w:ascii="Arial" w:hAnsi="Arial" w:cs="Arial"/>
          <w:sz w:val="20"/>
          <w:szCs w:val="20"/>
        </w:rPr>
        <w:t xml:space="preserve"> (PWDA),</w:t>
      </w:r>
      <w:r w:rsidR="007257D0">
        <w:rPr>
          <w:rFonts w:ascii="Arial" w:hAnsi="Arial" w:cs="Arial"/>
          <w:sz w:val="20"/>
          <w:szCs w:val="20"/>
        </w:rPr>
        <w:t xml:space="preserve"> Chris Martin</w:t>
      </w:r>
      <w:r w:rsidR="003B600B">
        <w:rPr>
          <w:rFonts w:ascii="Arial" w:hAnsi="Arial" w:cs="Arial"/>
          <w:sz w:val="20"/>
          <w:szCs w:val="20"/>
        </w:rPr>
        <w:t xml:space="preserve"> (USW)</w:t>
      </w:r>
    </w:p>
    <w:p w:rsidR="007257D0" w:rsidRPr="00331C81" w:rsidRDefault="007257D0" w:rsidP="003C0AB9">
      <w:pPr>
        <w:rPr>
          <w:rFonts w:ascii="Arial" w:hAnsi="Arial" w:cs="Arial"/>
          <w:sz w:val="20"/>
          <w:szCs w:val="20"/>
        </w:rPr>
      </w:pPr>
    </w:p>
    <w:p w:rsidR="003C0AB9" w:rsidRDefault="003C0AB9" w:rsidP="003C0AB9">
      <w:pPr>
        <w:rPr>
          <w:rFonts w:ascii="Arial" w:hAnsi="Arial" w:cs="Arial"/>
          <w:b/>
          <w:sz w:val="20"/>
          <w:szCs w:val="20"/>
        </w:rPr>
      </w:pPr>
      <w:r w:rsidRPr="003C0AB9">
        <w:rPr>
          <w:rFonts w:ascii="Arial" w:hAnsi="Arial" w:cs="Arial"/>
          <w:b/>
          <w:sz w:val="20"/>
          <w:szCs w:val="20"/>
        </w:rPr>
        <w:t>Apologies:</w:t>
      </w:r>
    </w:p>
    <w:p w:rsidR="00331C81" w:rsidRDefault="00331C81" w:rsidP="003C0AB9">
      <w:pPr>
        <w:rPr>
          <w:rFonts w:ascii="Arial" w:hAnsi="Arial" w:cs="Arial"/>
          <w:b/>
          <w:sz w:val="20"/>
          <w:szCs w:val="20"/>
        </w:rPr>
      </w:pPr>
    </w:p>
    <w:p w:rsidR="00331C81" w:rsidRPr="00331C81" w:rsidRDefault="00331C81" w:rsidP="003C0A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Minutes: </w:t>
      </w:r>
      <w:r w:rsidRPr="00331C81">
        <w:rPr>
          <w:rFonts w:ascii="Arial" w:hAnsi="Arial" w:cs="Arial"/>
          <w:sz w:val="20"/>
          <w:szCs w:val="20"/>
        </w:rPr>
        <w:t>Michelle Apschner</w:t>
      </w:r>
    </w:p>
    <w:p w:rsidR="000B0A45" w:rsidRDefault="000B0A45" w:rsidP="004444DE">
      <w:pPr>
        <w:jc w:val="right"/>
        <w:rPr>
          <w:rFonts w:ascii="Arial" w:hAnsi="Arial" w:cs="Arial"/>
          <w:sz w:val="20"/>
          <w:szCs w:val="20"/>
        </w:rPr>
      </w:pPr>
    </w:p>
    <w:p w:rsidR="004444DE" w:rsidRPr="001C01C8" w:rsidRDefault="003C0AB9" w:rsidP="004444DE">
      <w:pPr>
        <w:rPr>
          <w:rFonts w:ascii="Arial" w:hAnsi="Arial" w:cs="Arial"/>
          <w:b/>
          <w:sz w:val="20"/>
          <w:szCs w:val="20"/>
        </w:rPr>
      </w:pPr>
      <w:r w:rsidRPr="001C01C8">
        <w:rPr>
          <w:rFonts w:ascii="Arial" w:hAnsi="Arial" w:cs="Arial"/>
          <w:b/>
          <w:sz w:val="20"/>
          <w:szCs w:val="20"/>
        </w:rPr>
        <w:t>Overview of Review Process – Rory</w:t>
      </w:r>
      <w:r w:rsidR="005D52DF">
        <w:rPr>
          <w:rFonts w:ascii="Arial" w:hAnsi="Arial" w:cs="Arial"/>
          <w:b/>
          <w:sz w:val="20"/>
          <w:szCs w:val="20"/>
        </w:rPr>
        <w:t xml:space="preserve"> (DCJ)</w:t>
      </w:r>
    </w:p>
    <w:p w:rsidR="003C0AB9" w:rsidRDefault="003C0AB9" w:rsidP="003C0A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submissions will </w:t>
      </w:r>
      <w:r w:rsidR="0009603B">
        <w:rPr>
          <w:rFonts w:ascii="Arial" w:hAnsi="Arial" w:cs="Arial"/>
          <w:sz w:val="20"/>
          <w:szCs w:val="20"/>
        </w:rPr>
        <w:t>go to the NSW Department of Customer Services unless residents are using the ‘Easy Read’ version.</w:t>
      </w:r>
    </w:p>
    <w:p w:rsidR="0009603B" w:rsidRDefault="0009603B" w:rsidP="003C0A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issues questions are not exhaustive and the language is deliberately neutral.</w:t>
      </w:r>
    </w:p>
    <w:p w:rsidR="0009603B" w:rsidRDefault="0009603B" w:rsidP="003C0A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DCJ and DCS will read each submission and compile a report by the end of the year to be tabled in parliament early next year.</w:t>
      </w:r>
    </w:p>
    <w:p w:rsidR="0009603B" w:rsidRDefault="0009603B" w:rsidP="003C0A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submissions will be published unless there is a request not to.</w:t>
      </w:r>
    </w:p>
    <w:p w:rsidR="0009603B" w:rsidRDefault="0009603B" w:rsidP="003C0AB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Depending on the contents of the report there may need to be another round of consultations.</w:t>
      </w:r>
    </w:p>
    <w:p w:rsidR="0009603B" w:rsidRPr="001C01C8" w:rsidRDefault="0009603B" w:rsidP="0009603B">
      <w:pPr>
        <w:rPr>
          <w:rFonts w:ascii="Arial" w:hAnsi="Arial" w:cs="Arial"/>
          <w:b/>
          <w:sz w:val="20"/>
          <w:szCs w:val="20"/>
        </w:rPr>
      </w:pPr>
      <w:r w:rsidRPr="001C01C8">
        <w:rPr>
          <w:rFonts w:ascii="Arial" w:hAnsi="Arial" w:cs="Arial"/>
          <w:b/>
          <w:sz w:val="20"/>
          <w:szCs w:val="20"/>
        </w:rPr>
        <w:t>Tenants Union – Leo</w:t>
      </w:r>
    </w:p>
    <w:p w:rsidR="0009603B" w:rsidRDefault="0009603B" w:rsidP="0009603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boarding house sector does not deliver on the concept of safety, affordability and security.</w:t>
      </w:r>
    </w:p>
    <w:p w:rsidR="0009603B" w:rsidRDefault="0009603B" w:rsidP="0009603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 dispute resolution is currently not provided by NCAT and there is no protection against evictions as residents cannot get access to NCAT in time.</w:t>
      </w:r>
    </w:p>
    <w:p w:rsidR="0009603B" w:rsidRDefault="0009603B" w:rsidP="0009603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Problem with the RTA - </w:t>
      </w:r>
      <w:r>
        <w:rPr>
          <w:rFonts w:ascii="Arial" w:hAnsi="Arial" w:cs="Arial"/>
          <w:sz w:val="20"/>
          <w:szCs w:val="20"/>
        </w:rPr>
        <w:tab/>
        <w:t>very little government oversight or regulation and the expectation that residents will ‘do all the hard work’.</w:t>
      </w:r>
    </w:p>
    <w:p w:rsidR="0009603B" w:rsidRDefault="0009603B" w:rsidP="0009603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issue is magnified in the boarding house sector and the balance of power is not being resolved by the Act.</w:t>
      </w:r>
    </w:p>
    <w:p w:rsidR="0009603B" w:rsidRDefault="0009603B" w:rsidP="0009603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generation boarding houses – would like a change in the language as they are not boarding houses.</w:t>
      </w:r>
    </w:p>
    <w:p w:rsidR="0009603B" w:rsidRPr="001C01C8" w:rsidRDefault="0009603B" w:rsidP="0009603B">
      <w:pPr>
        <w:rPr>
          <w:rFonts w:ascii="Arial" w:hAnsi="Arial" w:cs="Arial"/>
          <w:b/>
          <w:sz w:val="20"/>
          <w:szCs w:val="20"/>
        </w:rPr>
      </w:pPr>
      <w:r w:rsidRPr="001C01C8">
        <w:rPr>
          <w:rFonts w:ascii="Arial" w:hAnsi="Arial" w:cs="Arial"/>
          <w:b/>
          <w:sz w:val="20"/>
          <w:szCs w:val="20"/>
        </w:rPr>
        <w:t>Health – Paul</w:t>
      </w:r>
    </w:p>
    <w:p w:rsidR="0009603B" w:rsidRDefault="001C01C8" w:rsidP="0009603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health the three issues to focus on are access, tenancy (quality) and exit.</w:t>
      </w:r>
    </w:p>
    <w:p w:rsidR="001C01C8" w:rsidRDefault="001C01C8" w:rsidP="0009603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health status in general boarding houses is not as good as the general population (in the inner west).</w:t>
      </w:r>
    </w:p>
    <w:p w:rsidR="001C01C8" w:rsidRDefault="001C01C8" w:rsidP="0009603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Interested in looking at what the access points are for people for safe accommodation</w:t>
      </w:r>
    </w:p>
    <w:p w:rsidR="001C01C8" w:rsidRDefault="001C01C8" w:rsidP="0009603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concept of people with additional needs living in a general boarding house when additional needs are unmet.</w:t>
      </w:r>
    </w:p>
    <w:p w:rsidR="001C01C8" w:rsidRDefault="001C01C8" w:rsidP="0009603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incorrect to say that they don’t live in general boarding houses because they do.</w:t>
      </w:r>
    </w:p>
    <w:p w:rsidR="001C01C8" w:rsidRPr="00D348DC" w:rsidRDefault="001C01C8" w:rsidP="001C01C8">
      <w:pPr>
        <w:rPr>
          <w:rFonts w:ascii="Arial" w:hAnsi="Arial" w:cs="Arial"/>
          <w:b/>
          <w:sz w:val="20"/>
          <w:szCs w:val="20"/>
        </w:rPr>
      </w:pPr>
      <w:r w:rsidRPr="00D348DC">
        <w:rPr>
          <w:rFonts w:ascii="Arial" w:hAnsi="Arial" w:cs="Arial"/>
          <w:b/>
          <w:sz w:val="20"/>
          <w:szCs w:val="20"/>
        </w:rPr>
        <w:t>Inner West Council –</w:t>
      </w:r>
      <w:r w:rsidR="00331C81" w:rsidRPr="00D348DC">
        <w:rPr>
          <w:rFonts w:ascii="Arial" w:hAnsi="Arial" w:cs="Arial"/>
          <w:b/>
          <w:sz w:val="20"/>
          <w:szCs w:val="20"/>
        </w:rPr>
        <w:t xml:space="preserve"> Jo</w:t>
      </w:r>
      <w:r w:rsidRPr="00D348DC">
        <w:rPr>
          <w:rFonts w:ascii="Arial" w:hAnsi="Arial" w:cs="Arial"/>
          <w:b/>
          <w:sz w:val="20"/>
          <w:szCs w:val="20"/>
        </w:rPr>
        <w:t>n</w:t>
      </w:r>
    </w:p>
    <w:p w:rsidR="001C01C8" w:rsidRDefault="00D348DC" w:rsidP="001C01C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 Sydney has the highest concentration of boarding houses at 20% followed by Inner West at 19%.</w:t>
      </w:r>
    </w:p>
    <w:p w:rsidR="00D348DC" w:rsidRDefault="00D348DC" w:rsidP="001C01C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According to the NNC database there are 329 boarding houses in the old Marrickville LGA with 145 of those unregistered.</w:t>
      </w:r>
    </w:p>
    <w:p w:rsidR="00D348DC" w:rsidRDefault="00D348DC" w:rsidP="001C01C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Potentially then there are 3300 boarding house residents in the inner west.</w:t>
      </w:r>
    </w:p>
    <w:p w:rsidR="00D348DC" w:rsidRDefault="00D348DC" w:rsidP="00D348D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key issues for Council;</w:t>
      </w:r>
    </w:p>
    <w:p w:rsidR="00D348DC" w:rsidRDefault="00D348DC" w:rsidP="00D348D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of Council compliance and enforcement activities, there was no consideration of how those functions would be funded.</w:t>
      </w:r>
    </w:p>
    <w:p w:rsidR="00D348DC" w:rsidRDefault="00D348DC" w:rsidP="00D348D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Reform of the Boarding House Act, currently there is a lack of definitio</w:t>
      </w:r>
      <w:r w:rsidR="000C723A">
        <w:rPr>
          <w:rFonts w:ascii="Arial" w:hAnsi="Arial" w:cs="Arial"/>
          <w:sz w:val="20"/>
          <w:szCs w:val="20"/>
        </w:rPr>
        <w:t>n of boarding houses. New gener</w:t>
      </w:r>
      <w:r>
        <w:rPr>
          <w:rFonts w:ascii="Arial" w:hAnsi="Arial" w:cs="Arial"/>
          <w:sz w:val="20"/>
          <w:szCs w:val="20"/>
        </w:rPr>
        <w:t>ation boarding houses that use the RTA should be excluded from the definition.</w:t>
      </w:r>
    </w:p>
    <w:p w:rsidR="00D348DC" w:rsidRDefault="00D348DC" w:rsidP="00D348D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Boarding House register, does not include all boarding houses</w:t>
      </w:r>
      <w:r w:rsidR="000C723A">
        <w:rPr>
          <w:rFonts w:ascii="Arial" w:hAnsi="Arial" w:cs="Arial"/>
          <w:sz w:val="20"/>
          <w:szCs w:val="20"/>
        </w:rPr>
        <w:t>. Council needs full access to the register and the public should also have full access.</w:t>
      </w:r>
    </w:p>
    <w:p w:rsidR="000C723A" w:rsidRDefault="000C723A" w:rsidP="00D348D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Accreditation of boarding houses similar to the model in QLD with three levels of accreditation.</w:t>
      </w:r>
    </w:p>
    <w:p w:rsidR="000C723A" w:rsidRDefault="000C723A" w:rsidP="00D348D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Boarding house support programs, there needs to be effective programs to support vulnerable people. While some may be able to access NDIS many can’t.</w:t>
      </w:r>
    </w:p>
    <w:p w:rsidR="000C723A" w:rsidRDefault="000C723A" w:rsidP="00D348D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Affordability – boarding houses under the Act should be affordable and managed by community housi</w:t>
      </w:r>
      <w:r w:rsidR="0055619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providers.</w:t>
      </w:r>
    </w:p>
    <w:p w:rsidR="000C723A" w:rsidRPr="00882DD7" w:rsidRDefault="000C723A" w:rsidP="000C723A">
      <w:pPr>
        <w:rPr>
          <w:rFonts w:ascii="Arial" w:hAnsi="Arial" w:cs="Arial"/>
          <w:b/>
          <w:sz w:val="20"/>
          <w:szCs w:val="20"/>
        </w:rPr>
      </w:pPr>
      <w:r w:rsidRPr="00882DD7">
        <w:rPr>
          <w:rFonts w:ascii="Arial" w:hAnsi="Arial" w:cs="Arial"/>
          <w:b/>
          <w:sz w:val="20"/>
          <w:szCs w:val="20"/>
        </w:rPr>
        <w:t>Landlords – Peter</w:t>
      </w:r>
    </w:p>
    <w:p w:rsidR="000C723A" w:rsidRDefault="000C723A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general boarding houses are not a lesser form of housing but are a different form of housing providing easily accessed accommodation.</w:t>
      </w:r>
    </w:p>
    <w:p w:rsidR="000C723A" w:rsidRDefault="000C723A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There has been a 12.6% reduction in the supply of registrable boarding houses</w:t>
      </w:r>
    </w:p>
    <w:p w:rsidR="000C723A" w:rsidRDefault="000C723A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local councils are currently not carrying out initial inspections.</w:t>
      </w:r>
    </w:p>
    <w:p w:rsidR="000C723A" w:rsidRDefault="000C723A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current register is unreliable</w:t>
      </w:r>
    </w:p>
    <w:p w:rsidR="000C723A" w:rsidRDefault="000C723A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Illegal non-compliant boarding houses are the </w:t>
      </w:r>
      <w:r w:rsidR="00882DD7">
        <w:rPr>
          <w:rFonts w:ascii="Arial" w:hAnsi="Arial" w:cs="Arial"/>
          <w:sz w:val="20"/>
          <w:szCs w:val="20"/>
        </w:rPr>
        <w:t>number one failing of the reforms.</w:t>
      </w:r>
    </w:p>
    <w:p w:rsidR="00882DD7" w:rsidRDefault="00882DD7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a regulatory framework that fuels healthy compliant supply not illegal supply.</w:t>
      </w:r>
    </w:p>
    <w:p w:rsidR="00882DD7" w:rsidRDefault="00882DD7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opposed to measures that will force boarding house operators to standardize their supply or that curtail their capacity to manage the property.</w:t>
      </w:r>
    </w:p>
    <w:p w:rsidR="00882DD7" w:rsidRDefault="00882DD7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support the reasonable occupancy principles as they are central to enabling </w:t>
      </w:r>
      <w:r>
        <w:rPr>
          <w:rFonts w:ascii="Arial" w:hAnsi="Arial" w:cs="Arial"/>
          <w:sz w:val="20"/>
          <w:szCs w:val="20"/>
        </w:rPr>
        <w:lastRenderedPageBreak/>
        <w:t>suppliers to provide diversity and flexibility.</w:t>
      </w:r>
    </w:p>
    <w:p w:rsidR="00882DD7" w:rsidRDefault="00882DD7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propose the inclusion of reasonable occupant obligations in the occupancy principles</w:t>
      </w:r>
    </w:p>
    <w:p w:rsidR="00882DD7" w:rsidRDefault="00882DD7" w:rsidP="000C723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support a broadening of the Act to include other forms of shared housing.</w:t>
      </w:r>
    </w:p>
    <w:p w:rsidR="00882DD7" w:rsidRPr="00556191" w:rsidRDefault="00882DD7" w:rsidP="00882DD7">
      <w:pPr>
        <w:rPr>
          <w:rFonts w:ascii="Arial" w:hAnsi="Arial" w:cs="Arial"/>
          <w:b/>
          <w:sz w:val="20"/>
          <w:szCs w:val="20"/>
        </w:rPr>
      </w:pPr>
      <w:r w:rsidRPr="00556191">
        <w:rPr>
          <w:rFonts w:ascii="Arial" w:hAnsi="Arial" w:cs="Arial"/>
          <w:b/>
          <w:sz w:val="20"/>
          <w:szCs w:val="20"/>
        </w:rPr>
        <w:t>Presentation – Chris</w:t>
      </w:r>
    </w:p>
    <w:p w:rsidR="00556191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Boarding houses are a distinct form of housing – there is more sharing and while it is more accessible and transitory it is less secure.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“Lodging” is still the defining element of what a boarding house is.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built form of a boarding house has changed, they may have shared space or </w:t>
      </w:r>
      <w:r w:rsidR="008036E5">
        <w:rPr>
          <w:rFonts w:ascii="Arial" w:hAnsi="Arial" w:cs="Arial"/>
          <w:sz w:val="20"/>
          <w:szCs w:val="20"/>
        </w:rPr>
        <w:t>self-contained</w:t>
      </w:r>
      <w:r>
        <w:rPr>
          <w:rFonts w:ascii="Arial" w:hAnsi="Arial" w:cs="Arial"/>
          <w:sz w:val="20"/>
          <w:szCs w:val="20"/>
        </w:rPr>
        <w:t xml:space="preserve"> space.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New generation boarding houses should really be considered as a block of very small flats.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of boarding houses that have registered has doubled however census data does not reflect this.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Existing boarding houses may be taking their time to register.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clear up the definition of lodger versus tenant.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distinguishing aspect should be around sharing – if there has been no decision by residents as to who they share with then this should be regulated differently.</w:t>
      </w:r>
    </w:p>
    <w:p w:rsidR="00EE34A6" w:rsidRDefault="00EE34A6" w:rsidP="00882DD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Regulation of proprietors of shared accommodation should perhaps have more regulation than the private rental sector.</w:t>
      </w:r>
    </w:p>
    <w:p w:rsidR="00556191" w:rsidRPr="00EE34A6" w:rsidRDefault="00556191" w:rsidP="00556191">
      <w:pPr>
        <w:rPr>
          <w:rFonts w:ascii="Arial" w:hAnsi="Arial" w:cs="Arial"/>
          <w:b/>
          <w:sz w:val="20"/>
          <w:szCs w:val="20"/>
        </w:rPr>
      </w:pPr>
      <w:r w:rsidRPr="00EE34A6">
        <w:rPr>
          <w:rFonts w:ascii="Arial" w:hAnsi="Arial" w:cs="Arial"/>
          <w:b/>
          <w:sz w:val="20"/>
          <w:szCs w:val="20"/>
        </w:rPr>
        <w:t>Final Wrap Up - Anyone interested in workshopping common areas for a joint submission</w:t>
      </w:r>
    </w:p>
    <w:p w:rsidR="00556191" w:rsidRDefault="00556191" w:rsidP="005561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Murray</w:t>
      </w:r>
    </w:p>
    <w:p w:rsidR="00EE34A6" w:rsidRDefault="00EE34A6" w:rsidP="005561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Clenaghan</w:t>
      </w:r>
    </w:p>
    <w:p w:rsidR="00EE34A6" w:rsidRDefault="00EE34A6" w:rsidP="005561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 Pattinson Ross</w:t>
      </w:r>
    </w:p>
    <w:p w:rsidR="00EE34A6" w:rsidRPr="00556191" w:rsidRDefault="00EE34A6" w:rsidP="005561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regroup when there is something to respond to.</w:t>
      </w:r>
    </w:p>
    <w:sectPr w:rsidR="00EE34A6" w:rsidRPr="00556191" w:rsidSect="000B0A45">
      <w:headerReference w:type="default" r:id="rId7"/>
      <w:headerReference w:type="first" r:id="rId8"/>
      <w:footerReference w:type="first" r:id="rId9"/>
      <w:pgSz w:w="11900" w:h="16840"/>
      <w:pgMar w:top="2835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14" w:rsidRDefault="007C4F14">
      <w:r>
        <w:separator/>
      </w:r>
    </w:p>
  </w:endnote>
  <w:endnote w:type="continuationSeparator" w:id="0">
    <w:p w:rsidR="007C4F14" w:rsidRDefault="007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A6" w:rsidRPr="006A616A" w:rsidRDefault="000B0A45" w:rsidP="008136A6">
    <w:pPr>
      <w:pStyle w:val="Normal1"/>
      <w:tabs>
        <w:tab w:val="center" w:pos="4320"/>
        <w:tab w:val="right" w:pos="8640"/>
      </w:tabs>
      <w:spacing w:before="120"/>
      <w:jc w:val="center"/>
      <w:rPr>
        <w:color w:val="0092D2"/>
      </w:rPr>
    </w:pPr>
    <w:r>
      <w:rPr>
        <w:rFonts w:ascii="Arial" w:eastAsia="Arial" w:hAnsi="Arial" w:cs="Arial"/>
        <w:b/>
        <w:color w:val="0092D2"/>
        <w:sz w:val="19"/>
        <w:szCs w:val="19"/>
        <w:highlight w:val="white"/>
      </w:rPr>
      <w:t>N</w:t>
    </w:r>
    <w:r w:rsidR="008136A6" w:rsidRPr="006A616A">
      <w:rPr>
        <w:rFonts w:ascii="Arial" w:eastAsia="Arial" w:hAnsi="Arial" w:cs="Arial"/>
        <w:b/>
        <w:color w:val="0092D2"/>
        <w:sz w:val="19"/>
        <w:szCs w:val="19"/>
        <w:highlight w:val="white"/>
      </w:rPr>
      <w:t>ewtown Neighbourhood Centre</w:t>
    </w:r>
  </w:p>
  <w:p w:rsidR="00427C5F" w:rsidRDefault="008136A6" w:rsidP="00427C5F">
    <w:pPr>
      <w:jc w:val="center"/>
      <w:rPr>
        <w:rFonts w:ascii="Calibri" w:eastAsia="Calibri" w:hAnsi="Calibri" w:cs="Calibri"/>
        <w:sz w:val="16"/>
        <w:szCs w:val="16"/>
        <w:highlight w:val="white"/>
      </w:rPr>
    </w:pPr>
    <w:r>
      <w:rPr>
        <w:rFonts w:ascii="Calibri" w:eastAsia="Calibri" w:hAnsi="Calibri" w:cs="Calibri"/>
        <w:sz w:val="16"/>
        <w:szCs w:val="16"/>
        <w:highlight w:val="white"/>
      </w:rPr>
      <w:t>1 Bedford St</w:t>
    </w:r>
    <w:r w:rsidR="00AA239B">
      <w:rPr>
        <w:rFonts w:ascii="Calibri" w:eastAsia="Calibri" w:hAnsi="Calibri" w:cs="Calibri"/>
        <w:sz w:val="16"/>
        <w:szCs w:val="16"/>
        <w:highlight w:val="white"/>
      </w:rPr>
      <w:t xml:space="preserve">/PO Box 19, Newtown NSW 2042 </w:t>
    </w:r>
    <w:r>
      <w:rPr>
        <w:rFonts w:ascii="Calibri" w:eastAsia="Calibri" w:hAnsi="Calibri" w:cs="Calibri"/>
        <w:sz w:val="16"/>
        <w:szCs w:val="16"/>
        <w:highlight w:val="white"/>
      </w:rPr>
      <w:t>|</w:t>
    </w:r>
    <w:r w:rsidR="00427C5F">
      <w:rPr>
        <w:rFonts w:ascii="Calibri" w:eastAsia="Calibri" w:hAnsi="Calibri" w:cs="Calibri"/>
        <w:sz w:val="16"/>
        <w:szCs w:val="16"/>
        <w:highlight w:val="white"/>
      </w:rPr>
      <w:t>ABN 96 884 462 833</w:t>
    </w:r>
  </w:p>
  <w:p w:rsidR="008136A6" w:rsidRDefault="008136A6" w:rsidP="000B0A45">
    <w:pPr>
      <w:jc w:val="center"/>
    </w:pPr>
    <w:r>
      <w:rPr>
        <w:rFonts w:ascii="Calibri" w:eastAsia="Calibri" w:hAnsi="Calibri" w:cs="Calibri"/>
        <w:sz w:val="16"/>
        <w:szCs w:val="16"/>
        <w:highlight w:val="white"/>
      </w:rPr>
      <w:t xml:space="preserve">E admin@newtowncentre.org | P +61 2 9564 7333 | F +61 2 9519 2509 | W </w:t>
    </w:r>
    <w:r>
      <w:rPr>
        <w:rFonts w:ascii="Calibri" w:eastAsia="Calibri" w:hAnsi="Calibri" w:cs="Calibri"/>
        <w:sz w:val="16"/>
        <w:szCs w:val="16"/>
      </w:rPr>
      <w:t>newtowncentre.org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14" w:rsidRDefault="007C4F14">
      <w:r>
        <w:separator/>
      </w:r>
    </w:p>
  </w:footnote>
  <w:footnote w:type="continuationSeparator" w:id="0">
    <w:p w:rsidR="007C4F14" w:rsidRDefault="007C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8B" w:rsidRDefault="00116E8B">
    <w:pPr>
      <w:pStyle w:val="Normal1"/>
      <w:tabs>
        <w:tab w:val="center" w:pos="4320"/>
        <w:tab w:val="right" w:pos="8640"/>
      </w:tabs>
      <w:spacing w:after="120"/>
    </w:pPr>
  </w:p>
  <w:p w:rsidR="00116E8B" w:rsidRDefault="00116E8B">
    <w:pPr>
      <w:pStyle w:val="Normal1"/>
      <w:tabs>
        <w:tab w:val="center" w:pos="4320"/>
        <w:tab w:val="right" w:pos="8640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A6" w:rsidRDefault="008136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116</wp:posOffset>
          </wp:positionV>
          <wp:extent cx="1990456" cy="631825"/>
          <wp:effectExtent l="0" t="0" r="0" b="0"/>
          <wp:wrapNone/>
          <wp:docPr id="3" name="Picture 1" descr="SYDNEY:Newtown Neighbourhood Centre:Newtown N Centre Final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NEY:Newtown Neighbourhood Centre:Newtown N Centre Final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456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C94"/>
    <w:multiLevelType w:val="hybridMultilevel"/>
    <w:tmpl w:val="6B364D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F21F3"/>
    <w:multiLevelType w:val="hybridMultilevel"/>
    <w:tmpl w:val="1C205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1B8"/>
    <w:multiLevelType w:val="hybridMultilevel"/>
    <w:tmpl w:val="AA88D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7261"/>
    <w:multiLevelType w:val="hybridMultilevel"/>
    <w:tmpl w:val="630A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D09"/>
    <w:multiLevelType w:val="hybridMultilevel"/>
    <w:tmpl w:val="8E8C1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7B08"/>
    <w:multiLevelType w:val="multilevel"/>
    <w:tmpl w:val="5F4ECE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B4B46B4"/>
    <w:multiLevelType w:val="multilevel"/>
    <w:tmpl w:val="72B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B806B2"/>
    <w:multiLevelType w:val="hybridMultilevel"/>
    <w:tmpl w:val="2F52C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4A60"/>
    <w:multiLevelType w:val="hybridMultilevel"/>
    <w:tmpl w:val="1438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211A7"/>
    <w:multiLevelType w:val="hybridMultilevel"/>
    <w:tmpl w:val="EA2E76C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B777AD8"/>
    <w:multiLevelType w:val="multilevel"/>
    <w:tmpl w:val="FF3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A34C5"/>
    <w:multiLevelType w:val="hybridMultilevel"/>
    <w:tmpl w:val="DB3E9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5DEE"/>
    <w:multiLevelType w:val="hybridMultilevel"/>
    <w:tmpl w:val="916AF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A3AD9"/>
    <w:multiLevelType w:val="hybridMultilevel"/>
    <w:tmpl w:val="AA18F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E41"/>
    <w:multiLevelType w:val="hybridMultilevel"/>
    <w:tmpl w:val="845C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86DDA"/>
    <w:multiLevelType w:val="hybridMultilevel"/>
    <w:tmpl w:val="1EC27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F"/>
    <w:rsid w:val="0009603B"/>
    <w:rsid w:val="000B0A45"/>
    <w:rsid w:val="000C723A"/>
    <w:rsid w:val="00116E8B"/>
    <w:rsid w:val="00134A34"/>
    <w:rsid w:val="001C01C8"/>
    <w:rsid w:val="002B538A"/>
    <w:rsid w:val="002E49AB"/>
    <w:rsid w:val="00331C81"/>
    <w:rsid w:val="003B600B"/>
    <w:rsid w:val="003C0AB9"/>
    <w:rsid w:val="0040180B"/>
    <w:rsid w:val="00427C5F"/>
    <w:rsid w:val="004444DE"/>
    <w:rsid w:val="0047085A"/>
    <w:rsid w:val="004B39E9"/>
    <w:rsid w:val="004D029F"/>
    <w:rsid w:val="00556191"/>
    <w:rsid w:val="005D52DF"/>
    <w:rsid w:val="006705F7"/>
    <w:rsid w:val="006A616A"/>
    <w:rsid w:val="006E2841"/>
    <w:rsid w:val="007257D0"/>
    <w:rsid w:val="007C4F14"/>
    <w:rsid w:val="007E38A5"/>
    <w:rsid w:val="008036E5"/>
    <w:rsid w:val="008136A6"/>
    <w:rsid w:val="00817AE3"/>
    <w:rsid w:val="00854B18"/>
    <w:rsid w:val="008760D9"/>
    <w:rsid w:val="00882DD7"/>
    <w:rsid w:val="00A40BDE"/>
    <w:rsid w:val="00AA239B"/>
    <w:rsid w:val="00BA4755"/>
    <w:rsid w:val="00D348DC"/>
    <w:rsid w:val="00DA28B8"/>
    <w:rsid w:val="00EE34A6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9DEE9F-ADAD-4504-BFB1-F060D5A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6A"/>
  </w:style>
  <w:style w:type="paragraph" w:styleId="Footer">
    <w:name w:val="footer"/>
    <w:basedOn w:val="Normal"/>
    <w:link w:val="FooterChar"/>
    <w:uiPriority w:val="99"/>
    <w:unhideWhenUsed/>
    <w:rsid w:val="006A6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6A"/>
  </w:style>
  <w:style w:type="character" w:styleId="Hyperlink">
    <w:name w:val="Hyperlink"/>
    <w:basedOn w:val="DefaultParagraphFont"/>
    <w:uiPriority w:val="99"/>
    <w:unhideWhenUsed/>
    <w:rsid w:val="00817A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A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xmsonormal">
    <w:name w:val="x_msonormal"/>
    <w:basedOn w:val="Normal"/>
    <w:rsid w:val="00817AE3"/>
    <w:pPr>
      <w:spacing w:before="100" w:beforeAutospacing="1" w:after="100" w:afterAutospacing="1"/>
    </w:pPr>
    <w:rPr>
      <w:color w:val="auto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B0A45"/>
    <w:rPr>
      <w:b/>
      <w:sz w:val="36"/>
      <w:szCs w:val="36"/>
    </w:rPr>
  </w:style>
  <w:style w:type="paragraph" w:customStyle="1" w:styleId="first">
    <w:name w:val="first"/>
    <w:basedOn w:val="Normal"/>
    <w:rsid w:val="000B0A45"/>
    <w:pPr>
      <w:spacing w:before="100" w:beforeAutospacing="1" w:after="100" w:afterAutospacing="1"/>
    </w:pPr>
    <w:rPr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0A45"/>
    <w:pPr>
      <w:spacing w:before="100" w:beforeAutospacing="1" w:after="100" w:afterAutospacing="1"/>
    </w:pPr>
    <w:rPr>
      <w:color w:val="auto"/>
      <w:lang w:eastAsia="en-AU"/>
    </w:rPr>
  </w:style>
  <w:style w:type="character" w:customStyle="1" w:styleId="apple-converted-space">
    <w:name w:val="apple-converted-space"/>
    <w:basedOn w:val="DefaultParagraphFont"/>
    <w:rsid w:val="000B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85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333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none" w:sz="0" w:space="0" w:color="auto"/>
                <w:bottom w:val="single" w:sz="12" w:space="8" w:color="CCCCCC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%20AND%20TEMPLATES\3.%20Information%20Management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michelleapschner</dc:creator>
  <cp:lastModifiedBy>Kiri Simoin</cp:lastModifiedBy>
  <cp:revision>2</cp:revision>
  <cp:lastPrinted>2018-09-04T05:18:00Z</cp:lastPrinted>
  <dcterms:created xsi:type="dcterms:W3CDTF">2019-09-19T01:12:00Z</dcterms:created>
  <dcterms:modified xsi:type="dcterms:W3CDTF">2019-09-19T01:12:00Z</dcterms:modified>
</cp:coreProperties>
</file>